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AF" w:rsidRPr="00ED4434" w:rsidRDefault="00425DAF" w:rsidP="00425DAF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ED4434">
        <w:rPr>
          <w:rFonts w:ascii="Times New Roman" w:hAnsi="Times New Roman"/>
          <w:sz w:val="24"/>
          <w:szCs w:val="24"/>
        </w:rPr>
        <w:t xml:space="preserve">2014–2020 metų Europos Sąjungos fondų investicijų veiksmų programos 1 prioriteto „Mokslinių tyrimų, eksperimentinės plėtros ir inovacijų skatinimas“ priemonės </w:t>
      </w:r>
    </w:p>
    <w:p w:rsidR="00425DAF" w:rsidRPr="00ED4434" w:rsidRDefault="00425DAF" w:rsidP="00425DAF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ED4434">
        <w:rPr>
          <w:rFonts w:ascii="Times New Roman" w:hAnsi="Times New Roman"/>
          <w:sz w:val="24"/>
          <w:szCs w:val="24"/>
        </w:rPr>
        <w:t xml:space="preserve">Nr. 01.2.1-LVPA-T-848 „Smart FDI“ projektų finansavimo sąlygų aprašo </w:t>
      </w:r>
    </w:p>
    <w:p w:rsidR="00425DAF" w:rsidRPr="00ED4434" w:rsidRDefault="00425DAF" w:rsidP="00425DAF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D4434">
        <w:rPr>
          <w:rFonts w:ascii="Times New Roman" w:eastAsia="Times New Roman" w:hAnsi="Times New Roman"/>
          <w:sz w:val="24"/>
          <w:szCs w:val="24"/>
          <w:lang w:eastAsia="lt-LT"/>
        </w:rPr>
        <w:t>3 priedas</w:t>
      </w:r>
    </w:p>
    <w:p w:rsidR="00425DAF" w:rsidRPr="00ED4434" w:rsidRDefault="00425DAF" w:rsidP="00425DAF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425DAF" w:rsidRPr="00ED4434" w:rsidRDefault="00425DAF" w:rsidP="00425DAF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ED4434">
        <w:rPr>
          <w:rFonts w:ascii="Times New Roman" w:hAnsi="Times New Roman"/>
          <w:b/>
          <w:caps/>
          <w:sz w:val="24"/>
        </w:rPr>
        <w:t xml:space="preserve">INFORMACIJA APIE GAUTĄ VALSTYBĖS PAGALBĄ, KITUS FINANSAVIMO ŠALTINIUS IR DUOMENIS, REIKALINGUS PROJEKTO ATITIKČIAI 2014–2020 METŲ EUROPOS SĄJUNGOS FONDŲ INVESTICIJŲ VEIKSMŲ PROGRAMOS </w:t>
      </w:r>
    </w:p>
    <w:p w:rsidR="00425DAF" w:rsidRPr="00ED4434" w:rsidRDefault="00425DAF" w:rsidP="00425DAF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ED4434">
        <w:rPr>
          <w:rFonts w:ascii="Times New Roman" w:hAnsi="Times New Roman"/>
          <w:b/>
          <w:caps/>
          <w:sz w:val="24"/>
        </w:rPr>
        <w:t>1 prioriteto „Mokslinių tyrimų, eksperimentinės plėtros ir inovacijų skatinimas“ priemonės Nr. 01.2.1-LVPA-T-848 „Smart FDI“ projektų finansavimo sąlygų aprašo NUOSTATOMS IR PROJEKTŲ ATRANKOS KRITERIJAMS ĮVERTINTI</w:t>
      </w:r>
    </w:p>
    <w:p w:rsidR="00425DAF" w:rsidRPr="00ED4434" w:rsidRDefault="00425DAF" w:rsidP="00425DAF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425DAF" w:rsidRPr="00ED4434" w:rsidRDefault="00425DAF" w:rsidP="00425D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D4434">
        <w:rPr>
          <w:rFonts w:ascii="Times New Roman" w:hAnsi="Times New Roman"/>
          <w:b/>
          <w:sz w:val="24"/>
        </w:rPr>
        <w:t>1. Pareiškėjo ir (ar) partnerio (-ių), jei projektas įgyvendinamas su partneriu (-iais) vykdomos veiklos ir projekto veiklos priskiriamos Ekonominės veiklos rūšių klasifikatoriui (EVRK 2 red.), patvirtintam Statistikos departamento</w:t>
      </w:r>
      <w:r w:rsidRPr="00ED4434">
        <w:t xml:space="preserve"> </w:t>
      </w:r>
      <w:r w:rsidRPr="00ED4434">
        <w:rPr>
          <w:rFonts w:ascii="Times New Roman" w:hAnsi="Times New Roman"/>
          <w:b/>
          <w:sz w:val="24"/>
        </w:rPr>
        <w:t xml:space="preserve">prie Lietuvos Respublikos Vyriausybės generalinio direktoriaus 2007 m. spalio 31 d. įsakymu Nr. DĮ-226 „Dėl Ekonominės veiklos rūšių klasifikatoriaus patvirtinimo“ (toliau – EVRK 2 red.) </w:t>
      </w:r>
      <w:r w:rsidRPr="00ED4434">
        <w:rPr>
          <w:rFonts w:ascii="Times New Roman" w:hAnsi="Times New Roman"/>
          <w:b/>
          <w:sz w:val="24"/>
          <w:szCs w:val="24"/>
        </w:rPr>
        <w:t>(taikoma vertinant projekto atitiktį 2014–2020 metų Europos Sąjungos fondų investicijų veiksmų programos 1 prioriteto „Mokslinių tyrimų, eksperimentinės plėtros ir inovacijų skatinimas“ priemonės Nr. 01.2.1-LVPA-T-848 „Smart FDI“ projektų finansavimo sąlygų aprašo (toliau – Aprašas) 10 punkto nuostatoms).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3"/>
        <w:gridCol w:w="3115"/>
      </w:tblGrid>
      <w:tr w:rsidR="00425DAF" w:rsidRPr="00ED4434" w:rsidTr="00AB4815">
        <w:tc>
          <w:tcPr>
            <w:tcW w:w="6588" w:type="dxa"/>
            <w:shd w:val="pct10" w:color="auto" w:fill="auto"/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 xml:space="preserve">1.1. Pareiškėjo vykdoma (-os) veikla (-os) pagal EVRK 2 red. </w:t>
            </w:r>
          </w:p>
        </w:tc>
        <w:tc>
          <w:tcPr>
            <w:tcW w:w="3159" w:type="dxa"/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DAF" w:rsidRPr="00ED4434" w:rsidTr="00AB4815">
        <w:trPr>
          <w:trHeight w:val="1128"/>
        </w:trPr>
        <w:tc>
          <w:tcPr>
            <w:tcW w:w="6588" w:type="dxa"/>
            <w:tcBorders>
              <w:bottom w:val="single" w:sz="4" w:space="0" w:color="auto"/>
            </w:tcBorders>
            <w:shd w:val="pct10" w:color="auto" w:fill="auto"/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 xml:space="preserve">1.2. Pareiškėjo veikla (-os) pagal EVRK 2 red., kuriai (-ioms) vykdyti bus naudojami projekto rezultatai (jei projekto rezultatai tenka kelioms veikloms, reikia nurodyti rezultatų padalijimą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br/>
              <w:t xml:space="preserve">procentais)  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DAF" w:rsidRPr="00ED4434" w:rsidTr="00AB4815">
        <w:trPr>
          <w:trHeight w:val="120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 xml:space="preserve">1.3. Partnerio vykdoma veikla (-os) pagal EVRK 2 red. </w:t>
            </w: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>(pildoma, jeigu projektas įgyvendinamas su partneriu)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DAF" w:rsidRPr="00ED4434" w:rsidTr="00AB4815">
        <w:trPr>
          <w:trHeight w:val="144"/>
        </w:trPr>
        <w:tc>
          <w:tcPr>
            <w:tcW w:w="6588" w:type="dxa"/>
            <w:tcBorders>
              <w:top w:val="single" w:sz="4" w:space="0" w:color="auto"/>
            </w:tcBorders>
            <w:shd w:val="pct10" w:color="auto" w:fill="auto"/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 xml:space="preserve">1.4. Partnerio veikla (-os) pagal EVRK 2 red., kuriai (-ioms) vykdyti bus naudojami projekto rezultatai (jei projekto rezultatai tenka kelioms veikloms, reikia nurodyti rezultatų padalijimą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br/>
              <w:t xml:space="preserve">procentais) </w:t>
            </w: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>(pildoma, jeigu projektas įgyvendinamas su partneriu)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5DAF" w:rsidRPr="00ED4434" w:rsidRDefault="00425DAF" w:rsidP="00425DAF">
      <w:pPr>
        <w:pStyle w:val="Sraopastraipa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caps/>
          <w:sz w:val="24"/>
        </w:rPr>
      </w:pPr>
    </w:p>
    <w:p w:rsidR="00425DAF" w:rsidRPr="00ED4434" w:rsidRDefault="00425DAF" w:rsidP="00425DAF">
      <w:pPr>
        <w:pStyle w:val="Sraopastraipa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D4434">
        <w:rPr>
          <w:rFonts w:ascii="Times New Roman" w:hAnsi="Times New Roman"/>
          <w:b/>
          <w:caps/>
          <w:sz w:val="24"/>
        </w:rPr>
        <w:t xml:space="preserve">2. </w:t>
      </w:r>
      <w:bookmarkStart w:id="0" w:name="_Ref301765743"/>
      <w:r w:rsidRPr="00ED4434">
        <w:rPr>
          <w:rFonts w:ascii="Times New Roman" w:hAnsi="Times New Roman"/>
          <w:b/>
          <w:sz w:val="24"/>
          <w:szCs w:val="24"/>
        </w:rPr>
        <w:t>Pareiškėjų akcininkai (nurodomi visi įmonės akcininkai, valdantys 10 ir daugiau procentų įmonės akcijų).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0"/>
        <w:gridCol w:w="3973"/>
      </w:tblGrid>
      <w:tr w:rsidR="00425DAF" w:rsidRPr="00ED4434" w:rsidTr="00AB4815">
        <w:trPr>
          <w:trHeight w:val="2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5DAF" w:rsidRPr="00ED4434" w:rsidRDefault="00425DAF" w:rsidP="00AB4815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5DAF" w:rsidRPr="00ED4434" w:rsidRDefault="00425DAF" w:rsidP="00AB48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Akcininkas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25DAF" w:rsidRPr="00ED4434" w:rsidRDefault="00425DAF" w:rsidP="00AB48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Akcijų dalis (procentais)</w:t>
            </w:r>
          </w:p>
        </w:tc>
      </w:tr>
      <w:tr w:rsidR="00425DAF" w:rsidRPr="00ED4434" w:rsidTr="00AB4815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AF" w:rsidRPr="00ED4434" w:rsidRDefault="00425DAF" w:rsidP="00AB481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line="240" w:lineRule="auto"/>
              <w:rPr>
                <w:bCs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line="240" w:lineRule="auto"/>
              <w:rPr>
                <w:bCs/>
              </w:rPr>
            </w:pPr>
          </w:p>
        </w:tc>
      </w:tr>
      <w:tr w:rsidR="00425DAF" w:rsidRPr="00ED4434" w:rsidTr="00AB4815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AF" w:rsidRPr="00ED4434" w:rsidRDefault="00425DAF" w:rsidP="00AB481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line="240" w:lineRule="auto"/>
              <w:rPr>
                <w:bCs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line="240" w:lineRule="auto"/>
              <w:rPr>
                <w:bCs/>
              </w:rPr>
            </w:pPr>
          </w:p>
        </w:tc>
      </w:tr>
    </w:tbl>
    <w:p w:rsidR="00425DAF" w:rsidRPr="00ED4434" w:rsidRDefault="00425DAF" w:rsidP="00425DAF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aps/>
          <w:sz w:val="24"/>
        </w:rPr>
      </w:pPr>
    </w:p>
    <w:p w:rsidR="00425DAF" w:rsidRPr="00ED4434" w:rsidRDefault="00425DAF" w:rsidP="00425DAF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D4434">
        <w:rPr>
          <w:rFonts w:ascii="Times New Roman" w:hAnsi="Times New Roman"/>
          <w:b/>
          <w:caps/>
          <w:sz w:val="24"/>
        </w:rPr>
        <w:t xml:space="preserve">3. </w:t>
      </w:r>
      <w:r w:rsidRPr="00ED443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Investuotojo lemiama įtaka investuotojo </w:t>
      </w:r>
      <w:r w:rsidRPr="00ED4434">
        <w:rPr>
          <w:rFonts w:ascii="Times New Roman" w:hAnsi="Times New Roman"/>
          <w:b/>
          <w:sz w:val="24"/>
          <w:szCs w:val="24"/>
          <w:lang w:eastAsia="lt-LT"/>
        </w:rPr>
        <w:t xml:space="preserve">Lietuvos Respublikoje įsteigtam privačiam juridiniam asmeniui (toliau – įmonė) arba užsienio investuotojo (įmonės) įsteigtas filialas Lietuvos Respublikoje </w:t>
      </w:r>
      <w:r w:rsidRPr="00ED4434">
        <w:rPr>
          <w:rFonts w:ascii="Times New Roman" w:hAnsi="Times New Roman"/>
          <w:b/>
          <w:sz w:val="24"/>
          <w:szCs w:val="24"/>
        </w:rPr>
        <w:t>(taikoma vertinant projekto atitiktį Aprašo 16 punkto nuostatoms)</w:t>
      </w:r>
      <w:r w:rsidRPr="00ED4434">
        <w:rPr>
          <w:rFonts w:ascii="Times New Roman" w:hAnsi="Times New Roman"/>
          <w:b/>
          <w:sz w:val="24"/>
          <w:szCs w:val="24"/>
          <w:lang w:eastAsia="lt-LT"/>
        </w:rPr>
        <w:t>.</w:t>
      </w:r>
      <w:r w:rsidRPr="00ED443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</w:p>
    <w:p w:rsidR="00425DAF" w:rsidRPr="00ED4434" w:rsidRDefault="00425DAF" w:rsidP="00425DAF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425DAF" w:rsidRPr="00ED4434" w:rsidRDefault="00425DAF" w:rsidP="00425DAF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25DAF" w:rsidRPr="00ED4434" w:rsidTr="00AB4815">
        <w:trPr>
          <w:trHeight w:val="3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25DAF" w:rsidRPr="00ED4434" w:rsidRDefault="00425DAF" w:rsidP="00AB4815">
            <w:pPr>
              <w:pStyle w:val="Default"/>
              <w:jc w:val="both"/>
              <w:rPr>
                <w:rFonts w:ascii="Times New Roman" w:hAnsi="Times New Roman" w:cs="Times New Roman"/>
                <w:b/>
                <w:lang w:eastAsia="lt-LT"/>
              </w:rPr>
            </w:pPr>
            <w:r w:rsidRPr="00ED4434">
              <w:rPr>
                <w:rFonts w:ascii="Times New Roman" w:hAnsi="Times New Roman" w:cs="Times New Roman"/>
                <w:b/>
                <w:lang w:eastAsia="lt-LT"/>
              </w:rPr>
              <w:lastRenderedPageBreak/>
              <w:t xml:space="preserve">Aprašyti padėtį, kaip kontroliuojantis asmuo – investuotojas – įgyvendina arba gali įgyvendinti savo sprendimus dėl kontroliuojamo ūkio subjekto – įmonės – ūkinės veiklos, organų sprendimų ar personalo sudėties. </w:t>
            </w:r>
          </w:p>
        </w:tc>
      </w:tr>
      <w:tr w:rsidR="00425DAF" w:rsidRPr="00ED4434" w:rsidTr="00AB4815">
        <w:trPr>
          <w:trHeight w:val="6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AF" w:rsidRPr="00ED4434" w:rsidRDefault="00425DAF" w:rsidP="00AB481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ED4434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Pateikiamas išsamus aprašymas. </w:t>
            </w:r>
          </w:p>
          <w:p w:rsidR="00425DAF" w:rsidRPr="00ED4434" w:rsidRDefault="00425DAF" w:rsidP="00AB4815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425DAF" w:rsidRPr="00ED4434" w:rsidTr="00AB4815">
        <w:trPr>
          <w:trHeight w:val="6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25DAF" w:rsidRPr="00ED4434" w:rsidRDefault="00425DAF" w:rsidP="00AB4815">
            <w:pPr>
              <w:widowControl w:val="0"/>
              <w:shd w:val="pct10" w:color="auto" w:fill="auto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Nurodyti </w:t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t>užsienio investuotojo (įmonės) įsteigto filialo Lietuvos Respublikoje steigimo (registracijos) duomenis.</w:t>
            </w:r>
          </w:p>
        </w:tc>
      </w:tr>
      <w:tr w:rsidR="00425DAF" w:rsidRPr="00ED4434" w:rsidTr="00AB4815">
        <w:trPr>
          <w:trHeight w:val="6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AF" w:rsidRPr="00ED4434" w:rsidRDefault="00425DAF" w:rsidP="00AB481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ED4434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Pateikiamo įsteigto filialo registracijos data ir kodas.</w:t>
            </w:r>
          </w:p>
        </w:tc>
      </w:tr>
    </w:tbl>
    <w:p w:rsidR="00425DAF" w:rsidRPr="00ED4434" w:rsidRDefault="00425DAF" w:rsidP="00425DAF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aps/>
          <w:sz w:val="24"/>
        </w:rPr>
      </w:pPr>
    </w:p>
    <w:p w:rsidR="00425DAF" w:rsidRPr="00ED4434" w:rsidRDefault="00425DAF" w:rsidP="00425DAF">
      <w:pPr>
        <w:widowControl w:val="0"/>
        <w:tabs>
          <w:tab w:val="left" w:pos="0"/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D4434">
        <w:rPr>
          <w:rFonts w:ascii="Times New Roman" w:eastAsia="Times New Roman" w:hAnsi="Times New Roman"/>
          <w:b/>
          <w:sz w:val="24"/>
          <w:szCs w:val="24"/>
          <w:lang w:eastAsia="lt-LT"/>
        </w:rPr>
        <w:t>4. Gauta (planuojama gauti) valstybės pagalba</w:t>
      </w:r>
      <w:bookmarkEnd w:id="0"/>
      <w:r w:rsidRPr="00ED443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projektui pagal pareiškėją (arba pagal pareiškėją ir partnerius).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559"/>
        <w:gridCol w:w="1134"/>
        <w:gridCol w:w="1134"/>
        <w:gridCol w:w="1418"/>
        <w:gridCol w:w="1417"/>
        <w:gridCol w:w="1276"/>
      </w:tblGrid>
      <w:tr w:rsidR="00425DAF" w:rsidRPr="00ED4434" w:rsidTr="00AB4815">
        <w:trPr>
          <w:trHeight w:val="3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ED4434">
              <w:rPr>
                <w:szCs w:val="24"/>
              </w:rPr>
              <w:t>Planuojama gauti valstybės pagalbos suma (</w:t>
            </w:r>
            <w:r w:rsidRPr="00ED4434">
              <w:rPr>
                <w:i/>
                <w:szCs w:val="24"/>
              </w:rPr>
              <w:t>ne</w:t>
            </w:r>
            <w:r w:rsidRPr="00ED4434">
              <w:rPr>
                <w:szCs w:val="24"/>
              </w:rPr>
              <w:t xml:space="preserve"> </w:t>
            </w:r>
            <w:r w:rsidRPr="00ED4434">
              <w:rPr>
                <w:i/>
                <w:szCs w:val="24"/>
              </w:rPr>
              <w:t>iš Lietuvos Respublikos ūkio ministerijos</w:t>
            </w:r>
            <w:r w:rsidRPr="00ED4434"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DAF" w:rsidRPr="00ED4434" w:rsidRDefault="00425DAF" w:rsidP="00AB48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Gautos valstybės pagalbos 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ED4434">
              <w:rPr>
                <w:szCs w:val="24"/>
              </w:rPr>
              <w:t>Valsty</w:t>
            </w:r>
            <w:r>
              <w:rPr>
                <w:szCs w:val="24"/>
              </w:rPr>
              <w:t>-</w:t>
            </w:r>
            <w:r w:rsidRPr="00ED4434">
              <w:rPr>
                <w:szCs w:val="24"/>
              </w:rPr>
              <w:t>bės pagalbos teikėjas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ED4434">
              <w:rPr>
                <w:szCs w:val="24"/>
              </w:rPr>
              <w:t>Bendrojo bendrosios išimties reglamento straipsnis, pagal kurį teikiama valstybės pagalba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ED4434">
              <w:rPr>
                <w:szCs w:val="24"/>
              </w:rPr>
              <w:t>Informacija apie valstybės pagalbos suteikimą, teikimo pagrindą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ED4434">
              <w:rPr>
                <w:szCs w:val="24"/>
              </w:rPr>
              <w:t>Valstybės pagalbos suteikimo data</w:t>
            </w:r>
          </w:p>
        </w:tc>
      </w:tr>
      <w:tr w:rsidR="00425DAF" w:rsidRPr="00ED4434" w:rsidTr="00AB4815">
        <w:trPr>
          <w:trHeight w:val="3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ED4434">
              <w:rPr>
                <w:szCs w:val="24"/>
              </w:rPr>
              <w:t>4.1. Kita valstybės pagalba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425DAF" w:rsidRPr="00ED4434" w:rsidTr="00AB4815">
        <w:trPr>
          <w:trHeight w:val="3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ED4434">
              <w:rPr>
                <w:szCs w:val="24"/>
              </w:rPr>
              <w:t xml:space="preserve">4.2. Numatoma gauti </w:t>
            </w:r>
            <w:r w:rsidRPr="00ED4434">
              <w:rPr>
                <w:i/>
                <w:iCs/>
                <w:szCs w:val="24"/>
              </w:rPr>
              <w:t>de minimis</w:t>
            </w:r>
            <w:r w:rsidRPr="00ED4434">
              <w:rPr>
                <w:szCs w:val="24"/>
              </w:rPr>
              <w:t xml:space="preserve"> pagalba projektui įgyvendinti (nurodyti išlaidas, kurioms numatoma gauti </w:t>
            </w:r>
            <w:r w:rsidRPr="00ED4434">
              <w:rPr>
                <w:i/>
                <w:szCs w:val="24"/>
              </w:rPr>
              <w:t>de minimis</w:t>
            </w:r>
            <w:r w:rsidRPr="00ED4434">
              <w:rPr>
                <w:szCs w:val="24"/>
              </w:rPr>
              <w:t xml:space="preserve"> pagalbą)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  <w:tr w:rsidR="00425DAF" w:rsidRPr="00ED4434" w:rsidTr="00AB4815">
        <w:trPr>
          <w:trHeight w:val="37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  <w:r w:rsidRPr="00ED4434">
              <w:rPr>
                <w:szCs w:val="24"/>
              </w:rPr>
              <w:t>4.3. Kita įvairių formų valstybės finansinė parama juridiniams asmenims (valstybės suteiktos garantijos, mikrokreditai, garantuotų paskolų palūkanų kompensavimas, kita)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pStyle w:val="Style3"/>
              <w:numPr>
                <w:ilvl w:val="0"/>
                <w:numId w:val="0"/>
              </w:numPr>
              <w:rPr>
                <w:szCs w:val="24"/>
              </w:rPr>
            </w:pPr>
          </w:p>
        </w:tc>
      </w:tr>
    </w:tbl>
    <w:p w:rsidR="00425DAF" w:rsidRPr="00ED4434" w:rsidRDefault="00425DAF" w:rsidP="00425D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5DAF" w:rsidRPr="00ED4434" w:rsidRDefault="00425DAF" w:rsidP="00425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434">
        <w:rPr>
          <w:rFonts w:ascii="Times New Roman" w:hAnsi="Times New Roman"/>
          <w:b/>
          <w:sz w:val="24"/>
          <w:szCs w:val="24"/>
        </w:rPr>
        <w:lastRenderedPageBreak/>
        <w:t>5. Informacija apie investuotojo investicijas ir ketinimus investuoti į mokslinių tyrimų ir (ar) eksperimentinės plėtros ir inovacijų (toliau – MTEPI) sritį (taikoma vertinant projekto atitiktį Aprašo 23.4 papunkčio nuostatoms):</w:t>
      </w:r>
    </w:p>
    <w:p w:rsidR="00425DAF" w:rsidRPr="00ED4434" w:rsidRDefault="00425DAF" w:rsidP="00425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AF" w:rsidRPr="00ED4434" w:rsidRDefault="00425DAF" w:rsidP="00425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434">
        <w:rPr>
          <w:rFonts w:ascii="Times New Roman" w:hAnsi="Times New Roman"/>
          <w:b/>
          <w:sz w:val="24"/>
          <w:szCs w:val="24"/>
        </w:rPr>
        <w:t>5.1. informacija apie investuotojo (</w:t>
      </w:r>
      <w:r w:rsidRPr="00ED4434">
        <w:rPr>
          <w:rFonts w:ascii="Times New Roman" w:hAnsi="Times New Roman"/>
          <w:b/>
          <w:bCs/>
          <w:sz w:val="24"/>
          <w:szCs w:val="24"/>
          <w:lang w:eastAsia="lt-LT"/>
        </w:rPr>
        <w:t>įskaitant investuotojo įmonių grupę)</w:t>
      </w:r>
      <w:r w:rsidRPr="00ED4434">
        <w:rPr>
          <w:rFonts w:ascii="Times New Roman" w:hAnsi="Times New Roman"/>
          <w:b/>
          <w:sz w:val="24"/>
          <w:szCs w:val="24"/>
        </w:rPr>
        <w:t xml:space="preserve"> investicijas Lietuvos Respublikoje į gamybos ar paslaugų sektorių ne anksčiau kaip 10 metų iki paraiškos pateikimo</w:t>
      </w:r>
      <w:r w:rsidRPr="00ED4434">
        <w:rPr>
          <w:rFonts w:ascii="Times New Roman" w:hAnsi="Times New Roman"/>
          <w:sz w:val="24"/>
          <w:szCs w:val="24"/>
        </w:rPr>
        <w:t xml:space="preserve"> </w:t>
      </w:r>
      <w:r w:rsidRPr="00ED4434">
        <w:rPr>
          <w:rFonts w:ascii="Times New Roman" w:hAnsi="Times New Roman"/>
          <w:b/>
          <w:sz w:val="24"/>
          <w:szCs w:val="24"/>
        </w:rPr>
        <w:t>viešajai įstaigai Lietuvos verslo paramos agentūrai (toliau – įgyvendinančioji institucija) dienos.</w:t>
      </w: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405"/>
        <w:gridCol w:w="4394"/>
        <w:gridCol w:w="2835"/>
      </w:tblGrid>
      <w:tr w:rsidR="00425DAF" w:rsidRPr="00ED4434" w:rsidTr="00AB4815">
        <w:trPr>
          <w:trHeight w:val="132"/>
        </w:trPr>
        <w:tc>
          <w:tcPr>
            <w:tcW w:w="2405" w:type="dxa"/>
            <w:shd w:val="clear" w:color="auto" w:fill="D9D9D9" w:themeFill="background1" w:themeFillShade="D9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N-10</w:t>
            </w:r>
          </w:p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>(sumuojamos investicijos 10 metų iki paraiškos pateikimo  datos 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425DAF" w:rsidRPr="00462588" w:rsidRDefault="00425DAF" w:rsidP="00AB48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2588">
              <w:rPr>
                <w:rFonts w:ascii="Times New Roman" w:hAnsi="Times New Roman"/>
                <w:i/>
                <w:sz w:val="24"/>
                <w:szCs w:val="24"/>
              </w:rPr>
              <w:t>(paraiškos pateikimo data)</w:t>
            </w:r>
          </w:p>
        </w:tc>
      </w:tr>
      <w:tr w:rsidR="00425DAF" w:rsidRPr="00ED4434" w:rsidTr="00AB4815">
        <w:trPr>
          <w:trHeight w:val="397"/>
        </w:trPr>
        <w:tc>
          <w:tcPr>
            <w:tcW w:w="2405" w:type="dxa"/>
            <w:shd w:val="clear" w:color="auto" w:fill="D9D9D9" w:themeFill="background1" w:themeFillShade="D9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5.1.1. Investuotojo investicijos į gamybos ar paslaugų sektorių (Eur)</w:t>
            </w:r>
          </w:p>
        </w:tc>
        <w:tc>
          <w:tcPr>
            <w:tcW w:w="4394" w:type="dxa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DAF" w:rsidRPr="00ED4434" w:rsidRDefault="00425DAF" w:rsidP="00425DA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lt-LT"/>
        </w:rPr>
      </w:pPr>
    </w:p>
    <w:p w:rsidR="00425DAF" w:rsidRPr="00ED4434" w:rsidRDefault="00425DAF" w:rsidP="00425D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ED4434">
        <w:rPr>
          <w:rFonts w:ascii="Times New Roman" w:hAnsi="Times New Roman"/>
          <w:b/>
          <w:bCs/>
          <w:sz w:val="24"/>
          <w:szCs w:val="24"/>
          <w:lang w:eastAsia="lt-LT"/>
        </w:rPr>
        <w:t xml:space="preserve">5.2. nurodyti informaciją dėl investavimo ir veiklos vykdymo MTEPI srityje </w:t>
      </w:r>
      <w:r w:rsidRPr="00ED4434">
        <w:rPr>
          <w:rFonts w:ascii="Times New Roman" w:hAnsi="Times New Roman"/>
          <w:b/>
          <w:sz w:val="24"/>
          <w:szCs w:val="24"/>
        </w:rPr>
        <w:t>(taikoma vertinant projekto atitiktį Aprašo 23.4 papunkčio nuostatoms)</w:t>
      </w:r>
      <w:r w:rsidRPr="00ED4434">
        <w:rPr>
          <w:rFonts w:ascii="Times New Roman" w:hAnsi="Times New Roman"/>
          <w:b/>
          <w:bCs/>
          <w:sz w:val="24"/>
          <w:szCs w:val="24"/>
          <w:lang w:eastAsia="lt-LT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3"/>
        <w:gridCol w:w="3125"/>
      </w:tblGrid>
      <w:tr w:rsidR="00425DAF" w:rsidRPr="00ED4434" w:rsidTr="00AB4815">
        <w:trPr>
          <w:trHeight w:val="120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Pareiškėjas nėra vykdęs ir (ar) investavęs į MTEPI sritį Lietuvos Respublikoje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425DAF" w:rsidRPr="00ED4434" w:rsidRDefault="00425DAF" w:rsidP="00AB4815">
            <w:pPr>
              <w:pStyle w:val="Sraopastraipa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 xml:space="preserve">           Pažymėti Taip (Ne)</w:t>
            </w:r>
          </w:p>
        </w:tc>
      </w:tr>
    </w:tbl>
    <w:p w:rsidR="00425DAF" w:rsidRPr="00ED4434" w:rsidRDefault="00425DAF" w:rsidP="00425D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425DAF" w:rsidRPr="00ED4434" w:rsidRDefault="00425DAF" w:rsidP="00425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434">
        <w:rPr>
          <w:rFonts w:ascii="Times New Roman" w:hAnsi="Times New Roman"/>
          <w:b/>
          <w:bCs/>
          <w:sz w:val="24"/>
          <w:szCs w:val="24"/>
          <w:lang w:eastAsia="lt-LT"/>
        </w:rPr>
        <w:t>5.3.</w:t>
      </w:r>
      <w:r w:rsidRPr="00ED4434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Pr="00ED4434">
        <w:rPr>
          <w:rFonts w:ascii="Times New Roman" w:hAnsi="Times New Roman"/>
          <w:b/>
          <w:sz w:val="24"/>
          <w:szCs w:val="24"/>
        </w:rPr>
        <w:t>informacija apie ketinimus investuoti į MTEPI sritį vieną iš Prioritetinių mokslinių tyrimų ir eksperimentinės (socialinės, kultūrinės) plėtros ir inovacijų raidos (sumanios specializacijos) krypčių, patvirtintų Lietuvos Respublikos Vyriausybės 2014 m. balandžio 30 d. nutarimu Nr.</w:t>
      </w:r>
      <w:r w:rsidRPr="00ED4434">
        <w:rPr>
          <w:rFonts w:ascii="Times New Roman" w:eastAsia="Times New Roman" w:hAnsi="Times New Roman"/>
          <w:sz w:val="24"/>
          <w:szCs w:val="24"/>
          <w:lang w:eastAsia="lt-LT"/>
        </w:rPr>
        <w:t> </w:t>
      </w:r>
      <w:r w:rsidRPr="00ED4434">
        <w:rPr>
          <w:rFonts w:ascii="Times New Roman" w:hAnsi="Times New Roman"/>
          <w:b/>
          <w:sz w:val="24"/>
          <w:szCs w:val="24"/>
        </w:rPr>
        <w:t>411 „Dėl Prioritetinių mokslinių tyrimų ir eksperimentinės (socialinės, kultūrinės) plėtros ir inovacijų raidos (sumanios specializacijos) krypčių ir jų prioritetų įgyvendinimo programos patvirtinimo“ (toliau – sumanios specializacijos kryptis), ir vienam iš konkrečios sumanios specializacijos krypties prioritetų projekto įgyvendinimo metu ir 3 metus po projekto veiklų įgyvendinimo pabaigos.</w:t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262"/>
        <w:gridCol w:w="2666"/>
        <w:gridCol w:w="1417"/>
        <w:gridCol w:w="1560"/>
        <w:gridCol w:w="1842"/>
      </w:tblGrid>
      <w:tr w:rsidR="00425DAF" w:rsidRPr="00ED4434" w:rsidTr="00AB4815">
        <w:trPr>
          <w:trHeight w:val="9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 xml:space="preserve">Nuo projekto pradžios iki projekto finansavimo pabaigos metų (M) </w:t>
            </w: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>(turi atitikti Aprašo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>papunktyje nurodyto privalomo stebėsenos rodiklio reikšmę)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M+1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M+2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M+3</w:t>
            </w:r>
          </w:p>
        </w:tc>
      </w:tr>
      <w:tr w:rsidR="00425DAF" w:rsidRPr="00ED4434" w:rsidTr="00AB4815">
        <w:trPr>
          <w:trHeight w:val="39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5.3.1. Privačios investicijos į MTEPI (Eur)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AF" w:rsidRPr="00ED4434" w:rsidTr="00AB4815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5.3.2. Privačių investicijų į MTEPI projekto įgyvendinimo metu ir per 3 metus po projekto veiklų įgyvendinimo pabaigos bendra suma (Eur)</w:t>
            </w:r>
          </w:p>
        </w:tc>
      </w:tr>
      <w:tr w:rsidR="00425DAF" w:rsidRPr="00ED4434" w:rsidTr="00AB4815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DAF" w:rsidRPr="00ED4434" w:rsidTr="00AB4815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5.3.3. Prielaidos, kuriomis remiantis apskaičiuotos privačios investicijos į MTEPI per 3 metus po projekto veiklų įgyvendinimo pabaigos</w:t>
            </w:r>
          </w:p>
        </w:tc>
      </w:tr>
      <w:tr w:rsidR="00425DAF" w:rsidRPr="00ED4434" w:rsidTr="00AB4815">
        <w:trPr>
          <w:trHeight w:val="39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DAF" w:rsidRPr="00ED4434" w:rsidRDefault="00425DAF" w:rsidP="0042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DAF" w:rsidRPr="00ED4434" w:rsidRDefault="00425DAF" w:rsidP="00425D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D443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6. Projektas priskiriamas vienai iš </w:t>
      </w:r>
      <w:r w:rsidRPr="00ED4434">
        <w:rPr>
          <w:rFonts w:ascii="Times New Roman" w:hAnsi="Times New Roman"/>
          <w:b/>
          <w:sz w:val="24"/>
          <w:szCs w:val="24"/>
        </w:rPr>
        <w:t>sumanios specializacijos krypčių ir vienam iš konkrečios krypties prioritetų.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82"/>
        <w:gridCol w:w="743"/>
        <w:gridCol w:w="5502"/>
        <w:gridCol w:w="801"/>
      </w:tblGrid>
      <w:tr w:rsidR="00425DAF" w:rsidRPr="00ED4434" w:rsidTr="00AB4815">
        <w:tc>
          <w:tcPr>
            <w:tcW w:w="3369" w:type="dxa"/>
            <w:gridSpan w:val="2"/>
            <w:shd w:val="clear" w:color="auto" w:fill="E7E6E6" w:themeFill="background2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Sumanios specializacijos kryptis </w:t>
            </w:r>
          </w:p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(pasirenkamas vienas variantas)</w:t>
            </w:r>
          </w:p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shd w:val="clear" w:color="auto" w:fill="E7E6E6" w:themeFill="background2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Sumanios specializacijos krypties prioritetas </w:t>
            </w:r>
          </w:p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i/>
                <w:sz w:val="24"/>
                <w:szCs w:val="24"/>
              </w:rPr>
              <w:t>(pasirenkamas vienas variantas)</w:t>
            </w:r>
          </w:p>
        </w:tc>
      </w:tr>
      <w:tr w:rsidR="00425DAF" w:rsidRPr="00ED4434" w:rsidTr="00AB4815">
        <w:tc>
          <w:tcPr>
            <w:tcW w:w="2614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t>6.1. Energetika ir tvari aplinka</w:t>
            </w:r>
          </w:p>
        </w:tc>
        <w:tc>
          <w:tcPr>
            <w:tcW w:w="755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6.1.1. Išmaniosios energijos generatorių, tinklų ir vartotojų energetinio efektyvumo, diagnostikos, stebėsenos, apskaitos ir valdymo sistemos.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6.1.2. Energijos ir kuro gamyba iš biomasės ar atliekų, atliekų apdorojimas, saugojimas ir šalinimas.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6.1.3. Išmaniųjų mažaenergių pastatų kūrimo ir naudojimo technologija – skaitmeninė statyba.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sz w:val="24"/>
                <w:szCs w:val="24"/>
              </w:rPr>
              <w:t>6.1.4. Saulės energijos įrenginiai ir jų naudojimo elektros, šilumos ir vėsos gamybai technologijos.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6.2. </w:t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t>Sveikatos technologijos ir biotechnologijos</w:t>
            </w:r>
          </w:p>
        </w:tc>
        <w:tc>
          <w:tcPr>
            <w:tcW w:w="755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6.2.1. M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olekulinės technologijos medicinai ir biofarmacijai.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 xml:space="preserve">6.2.2.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Pažangios taikomosios technologijos asmens ir visuomenės sveikatai.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6.2.3. P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ažangi medicinos inžinerija ankstyvai diagnostikai ir gydymui.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6.3. </w:t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t>Agroinovacijos ir maisto technologijos</w:t>
            </w:r>
          </w:p>
        </w:tc>
        <w:tc>
          <w:tcPr>
            <w:tcW w:w="755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6.3.1. T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varūs agrobiologiniai ištekliai ir saugesnis maistas.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 xml:space="preserve">6.3.2.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Funkcionalus maistas.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6.3.3. I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novatyvus biožaliavų kūrimas, tobulinimas ir perdirbimas (biorafinavimas).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6.4. </w:t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t>Nauji gamybos procesai, medžiagos ir technologijos</w:t>
            </w:r>
          </w:p>
        </w:tc>
        <w:tc>
          <w:tcPr>
            <w:tcW w:w="755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6.4.1. F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otoninės ir lazerinės technologijos.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6.4.2. F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unkcinės medžiagos ir danga.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6.4.3. K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onstrukcinės ir kompozitinės medžiagos.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 xml:space="preserve">6.4.4.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Lanksčios produktų kūrimo ir gamybos technologinės sistemos.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6.5. </w:t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t>Transportas, logistika ir informacinės ir ryšių technologijos</w:t>
            </w:r>
          </w:p>
        </w:tc>
        <w:tc>
          <w:tcPr>
            <w:tcW w:w="755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 xml:space="preserve">6.5.1.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Sumanios transporto sistemos ir informacinės ir ryšių technologijos.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 xml:space="preserve">6.5.2.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Tarptautinių transporto koridorių valdymo ir transporto rūšių integracijos technologijos (modeliai).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6.5.3. P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ažangus elektroninis turinys, technologijos jam kurti ir informacinė sąveika.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6.5.4. I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nformacinių ir ryšių technologijų infrastruktūros, debesų kompiuterijos sprendimai ir paslaugos.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c>
          <w:tcPr>
            <w:tcW w:w="2614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6.6. </w:t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t>Įtrauki ir kūrybinga visuomenė</w:t>
            </w:r>
          </w:p>
        </w:tc>
        <w:tc>
          <w:tcPr>
            <w:tcW w:w="755" w:type="dxa"/>
            <w:vMerge w:val="restart"/>
            <w:vAlign w:val="center"/>
          </w:tcPr>
          <w:p w:rsidR="00425DAF" w:rsidRPr="00ED4434" w:rsidRDefault="00425DAF" w:rsidP="00AB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>6.6.1. M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odernios ugdymosi technologijos ir procesai.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rPr>
          <w:trHeight w:val="624"/>
        </w:trPr>
        <w:tc>
          <w:tcPr>
            <w:tcW w:w="2614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4434">
              <w:rPr>
                <w:rFonts w:ascii="Times New Roman" w:eastAsia="Times New Roman" w:hAnsi="Times New Roman"/>
                <w:sz w:val="24"/>
                <w:szCs w:val="24"/>
              </w:rPr>
              <w:t xml:space="preserve">6.6.2. </w:t>
            </w:r>
            <w:r w:rsidRPr="00ED4434">
              <w:rPr>
                <w:rFonts w:ascii="Times New Roman" w:hAnsi="Times New Roman"/>
                <w:sz w:val="24"/>
                <w:szCs w:val="24"/>
              </w:rPr>
              <w:t>Proveržio inovacijų kūrimo ir diegimo technologijos ir procesai.</w:t>
            </w:r>
          </w:p>
        </w:tc>
        <w:tc>
          <w:tcPr>
            <w:tcW w:w="815" w:type="dxa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ED443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25DAF" w:rsidRPr="00ED4434" w:rsidTr="00AB4815">
        <w:trPr>
          <w:trHeight w:val="228"/>
        </w:trPr>
        <w:tc>
          <w:tcPr>
            <w:tcW w:w="9854" w:type="dxa"/>
            <w:gridSpan w:val="4"/>
          </w:tcPr>
          <w:p w:rsidR="00425DAF" w:rsidRPr="00ED4434" w:rsidRDefault="00425DAF" w:rsidP="00AB48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434">
              <w:rPr>
                <w:rFonts w:ascii="Times New Roman" w:hAnsi="Times New Roman"/>
                <w:i/>
                <w:sz w:val="24"/>
                <w:szCs w:val="24"/>
              </w:rPr>
              <w:t>Pateikiama informacija, kurį pasirinkto prioriteto teminį specifiškumą atitinka projektas.</w:t>
            </w:r>
          </w:p>
        </w:tc>
      </w:tr>
    </w:tbl>
    <w:p w:rsidR="00425DAF" w:rsidRPr="00ED4434" w:rsidRDefault="00425DAF" w:rsidP="0042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DAF" w:rsidRDefault="00425DAF" w:rsidP="00425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4434">
        <w:rPr>
          <w:rFonts w:ascii="Times New Roman" w:hAnsi="Times New Roman"/>
        </w:rPr>
        <w:t>______________________</w:t>
      </w:r>
    </w:p>
    <w:p w:rsidR="00425DAF" w:rsidRPr="00234130" w:rsidRDefault="00425DAF" w:rsidP="00425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CA9" w:rsidRDefault="00A97CA9">
      <w:bookmarkStart w:id="1" w:name="_GoBack"/>
      <w:bookmarkEnd w:id="1"/>
    </w:p>
    <w:sectPr w:rsidR="00A97CA9" w:rsidSect="00462588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4"/>
    <w:rsid w:val="00146998"/>
    <w:rsid w:val="003D6B95"/>
    <w:rsid w:val="00425DAF"/>
    <w:rsid w:val="004B5284"/>
    <w:rsid w:val="007D6CCF"/>
    <w:rsid w:val="008C03CB"/>
    <w:rsid w:val="00A31C9D"/>
    <w:rsid w:val="00A42B5E"/>
    <w:rsid w:val="00A97CA9"/>
    <w:rsid w:val="00AB0F99"/>
    <w:rsid w:val="00AD25A2"/>
    <w:rsid w:val="00D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359F-756A-4F79-A98D-B2AFE60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5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5DAF"/>
    <w:pPr>
      <w:ind w:left="720"/>
      <w:contextualSpacing/>
    </w:pPr>
  </w:style>
  <w:style w:type="paragraph" w:customStyle="1" w:styleId="Default">
    <w:name w:val="Default"/>
    <w:rsid w:val="00425DAF"/>
    <w:pPr>
      <w:autoSpaceDE w:val="0"/>
      <w:autoSpaceDN w:val="0"/>
      <w:adjustRightInd w:val="0"/>
      <w:spacing w:after="0" w:line="240" w:lineRule="auto"/>
    </w:pPr>
    <w:rPr>
      <w:rFonts w:ascii="EYInterstate" w:eastAsia="Calibri" w:hAnsi="EYInterstate" w:cs="EYInterstate"/>
      <w:color w:val="000000"/>
      <w:sz w:val="24"/>
      <w:szCs w:val="24"/>
    </w:rPr>
  </w:style>
  <w:style w:type="paragraph" w:customStyle="1" w:styleId="Style3">
    <w:name w:val="Style3"/>
    <w:basedOn w:val="prastasis"/>
    <w:rsid w:val="00425DAF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5425</Words>
  <Characters>3093</Characters>
  <Application>Microsoft Office Word</Application>
  <DocSecurity>0</DocSecurity>
  <Lines>25</Lines>
  <Paragraphs>17</Paragraphs>
  <ScaleCrop>false</ScaleCrop>
  <Company>LVPA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Skirmantiene Aiste</cp:lastModifiedBy>
  <cp:revision>2</cp:revision>
  <dcterms:created xsi:type="dcterms:W3CDTF">2017-06-21T07:59:00Z</dcterms:created>
  <dcterms:modified xsi:type="dcterms:W3CDTF">2017-06-21T07:59:00Z</dcterms:modified>
</cp:coreProperties>
</file>